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E9" w:rsidRPr="008A149D" w:rsidRDefault="00B65BE9" w:rsidP="008A149D">
      <w:pPr>
        <w:jc w:val="center"/>
        <w:rPr>
          <w:rFonts w:cstheme="minorHAnsi"/>
          <w:b/>
          <w:sz w:val="20"/>
          <w:szCs w:val="20"/>
        </w:rPr>
      </w:pPr>
      <w:r w:rsidRPr="008A149D">
        <w:rPr>
          <w:rFonts w:cstheme="minorHAnsi"/>
          <w:b/>
          <w:sz w:val="20"/>
          <w:szCs w:val="20"/>
        </w:rPr>
        <w:t>STANDARD OPERATING PROCEDURES FOR</w:t>
      </w:r>
      <w:r w:rsidR="0022079B">
        <w:rPr>
          <w:rFonts w:cstheme="minorHAnsi"/>
          <w:b/>
          <w:sz w:val="20"/>
          <w:szCs w:val="20"/>
        </w:rPr>
        <w:t xml:space="preserve"> OXFAM</w:t>
      </w:r>
      <w:r w:rsidRPr="008A149D">
        <w:rPr>
          <w:rFonts w:cstheme="minorHAnsi"/>
          <w:b/>
          <w:sz w:val="20"/>
          <w:szCs w:val="20"/>
        </w:rPr>
        <w:t xml:space="preserve"> STAFF PROVIDING SUPPORT TO </w:t>
      </w:r>
      <w:r w:rsidR="00D61F1B" w:rsidRPr="008A149D">
        <w:rPr>
          <w:rFonts w:cstheme="minorHAnsi"/>
          <w:b/>
          <w:sz w:val="20"/>
          <w:szCs w:val="20"/>
        </w:rPr>
        <w:t>EBOLA CENTRES</w:t>
      </w:r>
      <w:r w:rsidRPr="008A149D">
        <w:rPr>
          <w:rFonts w:cstheme="minorHAnsi"/>
          <w:b/>
          <w:sz w:val="20"/>
          <w:szCs w:val="20"/>
        </w:rPr>
        <w:t xml:space="preserve"> </w:t>
      </w:r>
    </w:p>
    <w:p w:rsidR="003A41B9" w:rsidRPr="008A149D" w:rsidRDefault="003A41B9" w:rsidP="00B93C80">
      <w:pPr>
        <w:pStyle w:val="Default"/>
        <w:pBdr>
          <w:bottom w:val="single" w:sz="4" w:space="0" w:color="auto"/>
        </w:pBdr>
        <w:spacing w:after="200"/>
        <w:jc w:val="both"/>
        <w:rPr>
          <w:rFonts w:asciiTheme="minorHAnsi" w:hAnsiTheme="minorHAnsi" w:cstheme="minorHAnsi"/>
          <w:b/>
          <w:sz w:val="20"/>
          <w:szCs w:val="20"/>
          <w:lang w:val="en-GB"/>
        </w:rPr>
      </w:pPr>
      <w:r w:rsidRPr="008A149D">
        <w:rPr>
          <w:rFonts w:asciiTheme="minorHAnsi" w:hAnsiTheme="minorHAnsi" w:cstheme="minorHAnsi"/>
          <w:b/>
          <w:sz w:val="20"/>
          <w:szCs w:val="20"/>
          <w:lang w:val="en-GB"/>
        </w:rPr>
        <w:t>Key points</w:t>
      </w:r>
    </w:p>
    <w:p w:rsidR="00BE45EE" w:rsidRPr="008A149D" w:rsidRDefault="00BE45EE" w:rsidP="008F70AD">
      <w:pPr>
        <w:pStyle w:val="Default"/>
        <w:numPr>
          <w:ilvl w:val="0"/>
          <w:numId w:val="7"/>
        </w:numPr>
        <w:spacing w:after="120"/>
        <w:ind w:right="379"/>
        <w:jc w:val="both"/>
        <w:rPr>
          <w:rFonts w:asciiTheme="minorHAnsi" w:hAnsiTheme="minorHAnsi" w:cstheme="minorHAnsi"/>
          <w:sz w:val="20"/>
          <w:szCs w:val="20"/>
          <w:lang w:val="en-GB"/>
        </w:rPr>
      </w:pPr>
      <w:r w:rsidRPr="008A149D">
        <w:rPr>
          <w:rFonts w:asciiTheme="minorHAnsi" w:hAnsiTheme="minorHAnsi" w:cstheme="minorHAnsi"/>
          <w:sz w:val="20"/>
          <w:szCs w:val="20"/>
          <w:lang w:val="en-GB"/>
        </w:rPr>
        <w:t xml:space="preserve">This document sets out the </w:t>
      </w:r>
      <w:proofErr w:type="spellStart"/>
      <w:r w:rsidRPr="008A149D">
        <w:rPr>
          <w:rFonts w:asciiTheme="minorHAnsi" w:hAnsiTheme="minorHAnsi" w:cstheme="minorHAnsi"/>
          <w:sz w:val="20"/>
          <w:szCs w:val="20"/>
          <w:lang w:val="en-GB"/>
        </w:rPr>
        <w:t>SoPs</w:t>
      </w:r>
      <w:proofErr w:type="spellEnd"/>
      <w:r w:rsidRPr="008A149D">
        <w:rPr>
          <w:rFonts w:asciiTheme="minorHAnsi" w:hAnsiTheme="minorHAnsi" w:cstheme="minorHAnsi"/>
          <w:sz w:val="20"/>
          <w:szCs w:val="20"/>
          <w:lang w:val="en-GB"/>
        </w:rPr>
        <w:t xml:space="preserve"> for Oxfam staff working in ebola facilities</w:t>
      </w:r>
    </w:p>
    <w:p w:rsidR="00AD6BB4" w:rsidRPr="008A149D" w:rsidRDefault="003027AB" w:rsidP="008F70AD">
      <w:pPr>
        <w:pStyle w:val="Default"/>
        <w:numPr>
          <w:ilvl w:val="0"/>
          <w:numId w:val="7"/>
        </w:numPr>
        <w:spacing w:after="120"/>
        <w:ind w:right="379"/>
        <w:jc w:val="both"/>
        <w:rPr>
          <w:rFonts w:asciiTheme="minorHAnsi" w:hAnsiTheme="minorHAnsi" w:cstheme="minorHAnsi"/>
          <w:sz w:val="20"/>
          <w:szCs w:val="20"/>
          <w:lang w:val="en-GB"/>
        </w:rPr>
      </w:pPr>
      <w:r w:rsidRPr="008A149D">
        <w:rPr>
          <w:rFonts w:asciiTheme="minorHAnsi" w:hAnsiTheme="minorHAnsi" w:cstheme="minorHAnsi"/>
          <w:sz w:val="20"/>
          <w:szCs w:val="20"/>
          <w:lang w:val="en-GB"/>
        </w:rPr>
        <w:t xml:space="preserve">No Oxfam staff are permitted to enter an active red zone, however </w:t>
      </w:r>
      <w:r w:rsidR="00AD6BB4" w:rsidRPr="008A149D">
        <w:rPr>
          <w:rFonts w:asciiTheme="minorHAnsi" w:hAnsiTheme="minorHAnsi" w:cstheme="minorHAnsi"/>
          <w:bCs/>
          <w:sz w:val="20"/>
          <w:szCs w:val="20"/>
          <w:lang w:val="en-GB"/>
        </w:rPr>
        <w:t>they are authorised to enter green and white zones when required</w:t>
      </w:r>
    </w:p>
    <w:p w:rsidR="003027AB" w:rsidRPr="008A149D" w:rsidRDefault="003027AB" w:rsidP="008F70AD">
      <w:pPr>
        <w:pStyle w:val="Default"/>
        <w:numPr>
          <w:ilvl w:val="0"/>
          <w:numId w:val="7"/>
        </w:numPr>
        <w:spacing w:after="120"/>
        <w:ind w:right="379"/>
        <w:jc w:val="both"/>
        <w:rPr>
          <w:rFonts w:asciiTheme="minorHAnsi" w:hAnsiTheme="minorHAnsi" w:cstheme="minorHAnsi"/>
          <w:sz w:val="20"/>
          <w:szCs w:val="20"/>
          <w:lang w:val="en-GB"/>
        </w:rPr>
      </w:pPr>
      <w:r w:rsidRPr="008A149D">
        <w:rPr>
          <w:rFonts w:asciiTheme="minorHAnsi" w:hAnsiTheme="minorHAnsi" w:cstheme="minorHAnsi"/>
          <w:sz w:val="20"/>
          <w:szCs w:val="20"/>
          <w:lang w:val="en-GB"/>
        </w:rPr>
        <w:t xml:space="preserve">Although there can be an elevated risk of working in and around ebola centres due to the proximity to potentially infectious materials, in a centre that meets basic IPC standards these risks are comparable to other activities Oxfam staff </w:t>
      </w:r>
      <w:r w:rsidR="001A36B8" w:rsidRPr="008A149D">
        <w:rPr>
          <w:rFonts w:asciiTheme="minorHAnsi" w:hAnsiTheme="minorHAnsi" w:cstheme="minorHAnsi"/>
          <w:sz w:val="20"/>
          <w:szCs w:val="20"/>
          <w:lang w:val="en-GB"/>
        </w:rPr>
        <w:t>undertake</w:t>
      </w:r>
      <w:r w:rsidRPr="008A149D">
        <w:rPr>
          <w:rFonts w:asciiTheme="minorHAnsi" w:hAnsiTheme="minorHAnsi" w:cstheme="minorHAnsi"/>
          <w:sz w:val="20"/>
          <w:szCs w:val="20"/>
          <w:lang w:val="en-GB"/>
        </w:rPr>
        <w:t xml:space="preserve"> (</w:t>
      </w:r>
      <w:proofErr w:type="spellStart"/>
      <w:r w:rsidRPr="008A149D">
        <w:rPr>
          <w:rFonts w:asciiTheme="minorHAnsi" w:hAnsiTheme="minorHAnsi" w:cstheme="minorHAnsi"/>
          <w:sz w:val="20"/>
          <w:szCs w:val="20"/>
          <w:lang w:val="en-GB"/>
        </w:rPr>
        <w:t>eg</w:t>
      </w:r>
      <w:proofErr w:type="spellEnd"/>
      <w:r w:rsidRPr="008A149D">
        <w:rPr>
          <w:rFonts w:asciiTheme="minorHAnsi" w:hAnsiTheme="minorHAnsi" w:cstheme="minorHAnsi"/>
          <w:sz w:val="20"/>
          <w:szCs w:val="20"/>
          <w:lang w:val="en-GB"/>
        </w:rPr>
        <w:t xml:space="preserve"> supporting quarantined areas) </w:t>
      </w:r>
    </w:p>
    <w:p w:rsidR="003027AB" w:rsidRPr="008A149D" w:rsidRDefault="003027AB" w:rsidP="008F70AD">
      <w:pPr>
        <w:pStyle w:val="Default"/>
        <w:numPr>
          <w:ilvl w:val="0"/>
          <w:numId w:val="7"/>
        </w:numPr>
        <w:spacing w:after="120"/>
        <w:ind w:right="379"/>
        <w:jc w:val="both"/>
        <w:rPr>
          <w:rFonts w:asciiTheme="minorHAnsi" w:hAnsiTheme="minorHAnsi" w:cstheme="minorHAnsi"/>
          <w:sz w:val="20"/>
          <w:szCs w:val="20"/>
          <w:lang w:val="en-GB"/>
        </w:rPr>
      </w:pPr>
      <w:r w:rsidRPr="008A149D">
        <w:rPr>
          <w:rFonts w:asciiTheme="minorHAnsi" w:hAnsiTheme="minorHAnsi" w:cstheme="minorHAnsi"/>
          <w:sz w:val="20"/>
          <w:szCs w:val="20"/>
          <w:lang w:val="en-GB"/>
        </w:rPr>
        <w:t>Safe working in a green zone requires an understanding of the layout and operation of that centre</w:t>
      </w:r>
    </w:p>
    <w:p w:rsidR="00912907" w:rsidRPr="008A149D" w:rsidRDefault="00912907" w:rsidP="00912907">
      <w:pPr>
        <w:pStyle w:val="Default"/>
        <w:pBdr>
          <w:bottom w:val="single" w:sz="4" w:space="1" w:color="auto"/>
        </w:pBdr>
        <w:spacing w:after="120"/>
        <w:jc w:val="both"/>
        <w:rPr>
          <w:rFonts w:asciiTheme="minorHAnsi" w:hAnsiTheme="minorHAnsi" w:cstheme="minorHAnsi"/>
          <w:b/>
          <w:sz w:val="20"/>
          <w:szCs w:val="20"/>
          <w:lang w:val="en-GB"/>
        </w:rPr>
      </w:pPr>
      <w:r w:rsidRPr="008A149D">
        <w:rPr>
          <w:rFonts w:asciiTheme="minorHAnsi" w:hAnsiTheme="minorHAnsi" w:cstheme="minorHAnsi"/>
          <w:b/>
          <w:sz w:val="20"/>
          <w:szCs w:val="20"/>
          <w:lang w:val="en-GB"/>
        </w:rPr>
        <w:t>Red Zone</w:t>
      </w:r>
    </w:p>
    <w:p w:rsidR="00FE64C4" w:rsidRPr="008A149D" w:rsidRDefault="002E15C2" w:rsidP="004073BB">
      <w:pPr>
        <w:pStyle w:val="Default"/>
        <w:spacing w:after="120"/>
        <w:jc w:val="both"/>
        <w:rPr>
          <w:rFonts w:asciiTheme="minorHAnsi" w:hAnsiTheme="minorHAnsi" w:cstheme="minorHAnsi"/>
          <w:sz w:val="20"/>
          <w:szCs w:val="20"/>
          <w:lang w:val="en-GB"/>
        </w:rPr>
      </w:pPr>
      <w:r w:rsidRPr="008A149D">
        <w:rPr>
          <w:rFonts w:asciiTheme="minorHAnsi" w:hAnsiTheme="minorHAnsi" w:cstheme="minorHAnsi"/>
          <w:sz w:val="20"/>
          <w:szCs w:val="20"/>
          <w:lang w:val="en-GB"/>
        </w:rPr>
        <w:t>The Red Zone is an area</w:t>
      </w:r>
      <w:r w:rsidR="00FE64C4" w:rsidRPr="008A149D">
        <w:rPr>
          <w:rFonts w:asciiTheme="minorHAnsi" w:hAnsiTheme="minorHAnsi" w:cstheme="minorHAnsi"/>
          <w:sz w:val="20"/>
          <w:szCs w:val="20"/>
          <w:lang w:val="en-GB"/>
        </w:rPr>
        <w:t xml:space="preserve"> within an ebola centre where there is a high risk of coming into contact with ebola </w:t>
      </w:r>
      <w:r w:rsidR="004073BB" w:rsidRPr="008A149D">
        <w:rPr>
          <w:rFonts w:asciiTheme="minorHAnsi" w:hAnsiTheme="minorHAnsi" w:cstheme="minorHAnsi"/>
          <w:sz w:val="20"/>
          <w:szCs w:val="20"/>
          <w:lang w:val="en-GB"/>
        </w:rPr>
        <w:t>contaminated</w:t>
      </w:r>
      <w:r w:rsidR="00FE64C4" w:rsidRPr="008A149D">
        <w:rPr>
          <w:rFonts w:asciiTheme="minorHAnsi" w:hAnsiTheme="minorHAnsi" w:cstheme="minorHAnsi"/>
          <w:sz w:val="20"/>
          <w:szCs w:val="20"/>
          <w:lang w:val="en-GB"/>
        </w:rPr>
        <w:t xml:space="preserve"> materials.</w:t>
      </w:r>
      <w:r w:rsidR="004073BB" w:rsidRPr="008A149D">
        <w:rPr>
          <w:rFonts w:asciiTheme="minorHAnsi" w:hAnsiTheme="minorHAnsi" w:cstheme="minorHAnsi"/>
          <w:sz w:val="20"/>
          <w:szCs w:val="20"/>
          <w:lang w:val="en-GB"/>
        </w:rPr>
        <w:t xml:space="preserve">  Very specific IPC protocols are in place for those working in red zones in order to reduce the risk of infection.  Due to the increased risk </w:t>
      </w:r>
      <w:r w:rsidR="004073BB" w:rsidRPr="008A149D">
        <w:rPr>
          <w:rFonts w:asciiTheme="minorHAnsi" w:hAnsiTheme="minorHAnsi" w:cstheme="minorHAnsi"/>
          <w:b/>
          <w:i/>
          <w:sz w:val="20"/>
          <w:szCs w:val="20"/>
          <w:lang w:val="en-GB"/>
        </w:rPr>
        <w:t>n</w:t>
      </w:r>
      <w:r w:rsidR="00135A30" w:rsidRPr="008A149D">
        <w:rPr>
          <w:rFonts w:asciiTheme="minorHAnsi" w:hAnsiTheme="minorHAnsi" w:cstheme="minorHAnsi"/>
          <w:b/>
          <w:bCs/>
          <w:i/>
          <w:sz w:val="20"/>
          <w:szCs w:val="20"/>
          <w:lang w:val="en-GB"/>
        </w:rPr>
        <w:t>o Oxfam staff are</w:t>
      </w:r>
      <w:r w:rsidR="004073BB" w:rsidRPr="008A149D">
        <w:rPr>
          <w:rFonts w:asciiTheme="minorHAnsi" w:hAnsiTheme="minorHAnsi" w:cstheme="minorHAnsi"/>
          <w:b/>
          <w:bCs/>
          <w:i/>
          <w:sz w:val="20"/>
          <w:szCs w:val="20"/>
          <w:lang w:val="en-GB"/>
        </w:rPr>
        <w:t xml:space="preserve"> authorised to enter </w:t>
      </w:r>
      <w:r w:rsidR="00135A30" w:rsidRPr="008A149D">
        <w:rPr>
          <w:rFonts w:asciiTheme="minorHAnsi" w:hAnsiTheme="minorHAnsi" w:cstheme="minorHAnsi"/>
          <w:b/>
          <w:bCs/>
          <w:i/>
          <w:sz w:val="20"/>
          <w:szCs w:val="20"/>
          <w:lang w:val="en-GB"/>
        </w:rPr>
        <w:t>red zone</w:t>
      </w:r>
      <w:r w:rsidR="004073BB" w:rsidRPr="008A149D">
        <w:rPr>
          <w:rFonts w:asciiTheme="minorHAnsi" w:hAnsiTheme="minorHAnsi" w:cstheme="minorHAnsi"/>
          <w:b/>
          <w:bCs/>
          <w:i/>
          <w:sz w:val="20"/>
          <w:szCs w:val="20"/>
          <w:lang w:val="en-GB"/>
        </w:rPr>
        <w:t>s</w:t>
      </w:r>
      <w:r w:rsidR="00135A30" w:rsidRPr="008A149D">
        <w:rPr>
          <w:rFonts w:asciiTheme="minorHAnsi" w:hAnsiTheme="minorHAnsi" w:cstheme="minorHAnsi"/>
          <w:b/>
          <w:bCs/>
          <w:i/>
          <w:sz w:val="20"/>
          <w:szCs w:val="20"/>
          <w:lang w:val="en-GB"/>
        </w:rPr>
        <w:t>.</w:t>
      </w:r>
    </w:p>
    <w:p w:rsidR="00AD6BB4" w:rsidRPr="008A149D" w:rsidRDefault="00FE64C4" w:rsidP="00FE64C4">
      <w:pPr>
        <w:pStyle w:val="Default"/>
        <w:spacing w:after="120"/>
        <w:jc w:val="both"/>
        <w:rPr>
          <w:rFonts w:asciiTheme="minorHAnsi" w:hAnsiTheme="minorHAnsi" w:cstheme="minorHAnsi"/>
          <w:sz w:val="20"/>
          <w:szCs w:val="20"/>
          <w:lang w:val="en-GB"/>
        </w:rPr>
      </w:pPr>
      <w:r w:rsidRPr="008A149D">
        <w:rPr>
          <w:rFonts w:asciiTheme="minorHAnsi" w:hAnsiTheme="minorHAnsi" w:cstheme="minorHAnsi"/>
          <w:sz w:val="20"/>
          <w:szCs w:val="20"/>
          <w:lang w:val="en-GB"/>
        </w:rPr>
        <w:t xml:space="preserve">In the case where a centre either has never admitted a patient or where all patients admitted have been discharged after being confirmed ‘ebola negative’ </w:t>
      </w:r>
      <w:r w:rsidR="001A36B8" w:rsidRPr="008A149D">
        <w:rPr>
          <w:rFonts w:asciiTheme="minorHAnsi" w:hAnsiTheme="minorHAnsi" w:cstheme="minorHAnsi"/>
          <w:sz w:val="20"/>
          <w:szCs w:val="20"/>
          <w:lang w:val="en-GB"/>
        </w:rPr>
        <w:t>there is no ‘</w:t>
      </w:r>
      <w:r w:rsidRPr="008A149D">
        <w:rPr>
          <w:rFonts w:asciiTheme="minorHAnsi" w:hAnsiTheme="minorHAnsi" w:cstheme="minorHAnsi"/>
          <w:sz w:val="20"/>
          <w:szCs w:val="20"/>
          <w:lang w:val="en-GB"/>
        </w:rPr>
        <w:t>red zone</w:t>
      </w:r>
      <w:r w:rsidR="001A36B8" w:rsidRPr="008A149D">
        <w:rPr>
          <w:rFonts w:asciiTheme="minorHAnsi" w:hAnsiTheme="minorHAnsi" w:cstheme="minorHAnsi"/>
          <w:sz w:val="20"/>
          <w:szCs w:val="20"/>
          <w:lang w:val="en-GB"/>
        </w:rPr>
        <w:t>’</w:t>
      </w:r>
      <w:r w:rsidRPr="008A149D">
        <w:rPr>
          <w:rFonts w:asciiTheme="minorHAnsi" w:hAnsiTheme="minorHAnsi" w:cstheme="minorHAnsi"/>
          <w:sz w:val="20"/>
          <w:szCs w:val="20"/>
          <w:lang w:val="en-GB"/>
        </w:rPr>
        <w:t xml:space="preserve"> as there is no increased risk of coming into contact w</w:t>
      </w:r>
      <w:r w:rsidR="002E15C2" w:rsidRPr="008A149D">
        <w:rPr>
          <w:rFonts w:asciiTheme="minorHAnsi" w:hAnsiTheme="minorHAnsi" w:cstheme="minorHAnsi"/>
          <w:sz w:val="20"/>
          <w:szCs w:val="20"/>
          <w:lang w:val="en-GB"/>
        </w:rPr>
        <w:t>ith ebola contaminated material.</w:t>
      </w:r>
      <w:r w:rsidR="00AD6BB4" w:rsidRPr="008A149D">
        <w:rPr>
          <w:rFonts w:asciiTheme="minorHAnsi" w:hAnsiTheme="minorHAnsi" w:cstheme="minorHAnsi"/>
          <w:sz w:val="20"/>
          <w:szCs w:val="20"/>
          <w:lang w:val="en-GB"/>
        </w:rPr>
        <w:t xml:space="preserve">  This must be confirmed by the medical partner responsible for patient management before any Oxfam staff are authorised to enter.</w:t>
      </w:r>
    </w:p>
    <w:p w:rsidR="004073BB" w:rsidRPr="008A149D" w:rsidRDefault="002E15C2" w:rsidP="002E15C2">
      <w:pPr>
        <w:pStyle w:val="Default"/>
        <w:spacing w:after="120"/>
        <w:rPr>
          <w:rFonts w:asciiTheme="minorHAnsi" w:hAnsiTheme="minorHAnsi" w:cstheme="minorHAnsi"/>
          <w:sz w:val="20"/>
          <w:szCs w:val="20"/>
          <w:lang w:val="en-GB"/>
        </w:rPr>
      </w:pPr>
      <w:r w:rsidRPr="008A149D">
        <w:rPr>
          <w:rFonts w:asciiTheme="minorHAnsi" w:hAnsiTheme="minorHAnsi" w:cstheme="minorHAnsi"/>
          <w:sz w:val="20"/>
          <w:szCs w:val="20"/>
          <w:lang w:val="en-GB"/>
        </w:rPr>
        <w:t xml:space="preserve">Once a patient suspected or confirmed of being infected with ebola has been admitted to a centre, red zone protocols </w:t>
      </w:r>
      <w:r w:rsidR="00AD6BB4" w:rsidRPr="008A149D">
        <w:rPr>
          <w:rFonts w:asciiTheme="minorHAnsi" w:hAnsiTheme="minorHAnsi" w:cstheme="minorHAnsi"/>
          <w:sz w:val="20"/>
          <w:szCs w:val="20"/>
          <w:lang w:val="en-GB"/>
        </w:rPr>
        <w:t xml:space="preserve">must be strictly followed </w:t>
      </w:r>
      <w:r w:rsidRPr="008A149D">
        <w:rPr>
          <w:rFonts w:asciiTheme="minorHAnsi" w:hAnsiTheme="minorHAnsi" w:cstheme="minorHAnsi"/>
          <w:sz w:val="20"/>
          <w:szCs w:val="20"/>
          <w:lang w:val="en-GB"/>
        </w:rPr>
        <w:t>until the site has been decontaminated and signe</w:t>
      </w:r>
      <w:r w:rsidR="004073BB" w:rsidRPr="008A149D">
        <w:rPr>
          <w:rFonts w:asciiTheme="minorHAnsi" w:hAnsiTheme="minorHAnsi" w:cstheme="minorHAnsi"/>
          <w:sz w:val="20"/>
          <w:szCs w:val="20"/>
          <w:lang w:val="en-GB"/>
        </w:rPr>
        <w:t xml:space="preserve">d off by a qualified IPC Officer.  </w:t>
      </w:r>
      <w:r w:rsidR="001A36B8" w:rsidRPr="008A149D">
        <w:rPr>
          <w:rFonts w:asciiTheme="minorHAnsi" w:hAnsiTheme="minorHAnsi" w:cstheme="minorHAnsi"/>
          <w:sz w:val="20"/>
          <w:szCs w:val="20"/>
          <w:lang w:val="en-GB"/>
        </w:rPr>
        <w:t xml:space="preserve">The Government of Sierra Leone Ministry of Health and Sanitation has comprehensive </w:t>
      </w:r>
      <w:proofErr w:type="spellStart"/>
      <w:r w:rsidR="001A36B8" w:rsidRPr="008A149D">
        <w:rPr>
          <w:rFonts w:asciiTheme="minorHAnsi" w:hAnsiTheme="minorHAnsi" w:cstheme="minorHAnsi"/>
          <w:sz w:val="20"/>
          <w:szCs w:val="20"/>
          <w:lang w:val="en-GB"/>
        </w:rPr>
        <w:t>SoPs</w:t>
      </w:r>
      <w:proofErr w:type="spellEnd"/>
      <w:r w:rsidR="001A36B8" w:rsidRPr="008A149D">
        <w:rPr>
          <w:rFonts w:asciiTheme="minorHAnsi" w:hAnsiTheme="minorHAnsi" w:cstheme="minorHAnsi"/>
          <w:sz w:val="20"/>
          <w:szCs w:val="20"/>
          <w:lang w:val="en-GB"/>
        </w:rPr>
        <w:t xml:space="preserve"> on decontamination procedures</w:t>
      </w:r>
      <w:r w:rsidR="001A36B8" w:rsidRPr="008A149D">
        <w:rPr>
          <w:rStyle w:val="FootnoteReference"/>
          <w:rFonts w:asciiTheme="minorHAnsi" w:hAnsiTheme="minorHAnsi" w:cstheme="minorHAnsi"/>
          <w:sz w:val="20"/>
          <w:szCs w:val="20"/>
          <w:lang w:val="en-GB"/>
        </w:rPr>
        <w:footnoteReference w:id="1"/>
      </w:r>
      <w:r w:rsidR="001A36B8" w:rsidRPr="008A149D">
        <w:rPr>
          <w:rFonts w:asciiTheme="minorHAnsi" w:hAnsiTheme="minorHAnsi" w:cstheme="minorHAnsi"/>
          <w:sz w:val="20"/>
          <w:szCs w:val="20"/>
          <w:lang w:val="en-GB"/>
        </w:rPr>
        <w:t xml:space="preserve"> which should be followed when </w:t>
      </w:r>
      <w:r w:rsidR="004073BB" w:rsidRPr="008A149D">
        <w:rPr>
          <w:rFonts w:asciiTheme="minorHAnsi" w:hAnsiTheme="minorHAnsi" w:cstheme="minorHAnsi"/>
          <w:sz w:val="20"/>
          <w:szCs w:val="20"/>
          <w:lang w:val="en-GB"/>
        </w:rPr>
        <w:t xml:space="preserve">centre is to be finally decommissioned, or when </w:t>
      </w:r>
      <w:r w:rsidR="00BE45EE" w:rsidRPr="008A149D">
        <w:rPr>
          <w:rFonts w:asciiTheme="minorHAnsi" w:hAnsiTheme="minorHAnsi" w:cstheme="minorHAnsi"/>
          <w:sz w:val="20"/>
          <w:szCs w:val="20"/>
          <w:lang w:val="en-GB"/>
        </w:rPr>
        <w:t xml:space="preserve">the site is being temporarily closed to allow </w:t>
      </w:r>
      <w:r w:rsidR="004073BB" w:rsidRPr="008A149D">
        <w:rPr>
          <w:rFonts w:asciiTheme="minorHAnsi" w:hAnsiTheme="minorHAnsi" w:cstheme="minorHAnsi"/>
          <w:sz w:val="20"/>
          <w:szCs w:val="20"/>
          <w:lang w:val="en-GB"/>
        </w:rPr>
        <w:t>maintenance</w:t>
      </w:r>
      <w:r w:rsidR="00BE45EE" w:rsidRPr="008A149D">
        <w:rPr>
          <w:rFonts w:asciiTheme="minorHAnsi" w:hAnsiTheme="minorHAnsi" w:cstheme="minorHAnsi"/>
          <w:sz w:val="20"/>
          <w:szCs w:val="20"/>
          <w:lang w:val="en-GB"/>
        </w:rPr>
        <w:t xml:space="preserve"> work to be carried out</w:t>
      </w:r>
      <w:r w:rsidR="004073BB" w:rsidRPr="008A149D">
        <w:rPr>
          <w:rFonts w:asciiTheme="minorHAnsi" w:hAnsiTheme="minorHAnsi" w:cstheme="minorHAnsi"/>
          <w:sz w:val="20"/>
          <w:szCs w:val="20"/>
          <w:lang w:val="en-GB"/>
        </w:rPr>
        <w:t>.</w:t>
      </w:r>
    </w:p>
    <w:p w:rsidR="00D90EF8" w:rsidRPr="008A149D" w:rsidRDefault="00D90EF8" w:rsidP="00D90EF8">
      <w:pPr>
        <w:pStyle w:val="Default"/>
        <w:pBdr>
          <w:bottom w:val="single" w:sz="4" w:space="1" w:color="auto"/>
        </w:pBdr>
        <w:spacing w:after="120"/>
        <w:jc w:val="both"/>
        <w:rPr>
          <w:rFonts w:asciiTheme="minorHAnsi" w:hAnsiTheme="minorHAnsi" w:cstheme="minorHAnsi"/>
          <w:b/>
          <w:sz w:val="20"/>
          <w:szCs w:val="20"/>
          <w:lang w:val="en-GB"/>
        </w:rPr>
      </w:pPr>
      <w:r w:rsidRPr="008A149D">
        <w:rPr>
          <w:rFonts w:asciiTheme="minorHAnsi" w:hAnsiTheme="minorHAnsi" w:cstheme="minorHAnsi"/>
          <w:b/>
          <w:sz w:val="20"/>
          <w:szCs w:val="20"/>
          <w:lang w:val="en-GB"/>
        </w:rPr>
        <w:t>Green Zone</w:t>
      </w:r>
    </w:p>
    <w:p w:rsidR="00D90EF8" w:rsidRPr="008A149D" w:rsidRDefault="004073BB" w:rsidP="00D90EF8">
      <w:pPr>
        <w:pStyle w:val="Default"/>
        <w:spacing w:after="120"/>
        <w:jc w:val="both"/>
        <w:rPr>
          <w:rFonts w:asciiTheme="minorHAnsi" w:hAnsiTheme="minorHAnsi" w:cstheme="minorHAnsi"/>
          <w:bCs/>
          <w:sz w:val="20"/>
          <w:szCs w:val="20"/>
          <w:lang w:val="en-GB"/>
        </w:rPr>
      </w:pPr>
      <w:r w:rsidRPr="008A149D">
        <w:rPr>
          <w:rFonts w:asciiTheme="minorHAnsi" w:hAnsiTheme="minorHAnsi" w:cstheme="minorHAnsi"/>
          <w:sz w:val="20"/>
          <w:szCs w:val="20"/>
          <w:lang w:val="en-GB"/>
        </w:rPr>
        <w:t xml:space="preserve">The Green Zone </w:t>
      </w:r>
      <w:r w:rsidR="00D90EF8" w:rsidRPr="008A149D">
        <w:rPr>
          <w:rFonts w:asciiTheme="minorHAnsi" w:hAnsiTheme="minorHAnsi" w:cstheme="minorHAnsi"/>
          <w:bCs/>
          <w:sz w:val="20"/>
          <w:szCs w:val="20"/>
          <w:lang w:val="en-GB"/>
        </w:rPr>
        <w:t>is an area inside the ebola centre used for supporting activities such as dressing, laundry and storage.  In principle no infectious material should be present in the green zone, however due to the proximity to the red zone it is considered to have an elevated risk compared to the outside environment.  Because of this, access to the green zone is restricted to medical staff, hygienists and those involved in operation and maintenance of the centre as needed.  Those authorised to enter the green zone should be briefed on the risks and protocols to be followed before entering.  All people entering the green zone must first change into scrubs and rubber boots.</w:t>
      </w:r>
    </w:p>
    <w:p w:rsidR="00D90EF8" w:rsidRPr="008A149D" w:rsidRDefault="00D90EF8" w:rsidP="00AD6BB4">
      <w:pPr>
        <w:pStyle w:val="Default"/>
        <w:spacing w:after="120"/>
        <w:ind w:right="-46"/>
        <w:rPr>
          <w:rFonts w:asciiTheme="minorHAnsi" w:hAnsiTheme="minorHAnsi" w:cstheme="minorHAnsi"/>
          <w:b/>
          <w:bCs/>
          <w:sz w:val="20"/>
          <w:szCs w:val="20"/>
          <w:lang w:val="en-GB"/>
        </w:rPr>
      </w:pPr>
      <w:r w:rsidRPr="008A149D">
        <w:rPr>
          <w:rFonts w:asciiTheme="minorHAnsi" w:hAnsiTheme="minorHAnsi" w:cstheme="minorHAnsi"/>
          <w:b/>
          <w:bCs/>
          <w:sz w:val="20"/>
          <w:szCs w:val="20"/>
          <w:lang w:val="en-GB"/>
        </w:rPr>
        <w:t xml:space="preserve">Oxfam staff </w:t>
      </w:r>
      <w:r w:rsidR="00AD6BB4" w:rsidRPr="008A149D">
        <w:rPr>
          <w:rFonts w:asciiTheme="minorHAnsi" w:hAnsiTheme="minorHAnsi" w:cstheme="minorHAnsi"/>
          <w:b/>
          <w:bCs/>
          <w:sz w:val="20"/>
          <w:szCs w:val="20"/>
          <w:lang w:val="en-GB"/>
        </w:rPr>
        <w:t>are</w:t>
      </w:r>
      <w:r w:rsidRPr="008A149D">
        <w:rPr>
          <w:rFonts w:asciiTheme="minorHAnsi" w:hAnsiTheme="minorHAnsi" w:cstheme="minorHAnsi"/>
          <w:b/>
          <w:bCs/>
          <w:sz w:val="20"/>
          <w:szCs w:val="20"/>
          <w:lang w:val="en-GB"/>
        </w:rPr>
        <w:t xml:space="preserve"> authorised to enter a green zone based on the need to carry out specific tasks, they should be supervised by a senior focal person with an understanding of the IPC protocols effective in that particular centre.</w:t>
      </w:r>
    </w:p>
    <w:p w:rsidR="00D90EF8" w:rsidRPr="008A149D" w:rsidRDefault="00D90EF8" w:rsidP="00D90EF8">
      <w:pPr>
        <w:pStyle w:val="Default"/>
        <w:pBdr>
          <w:bottom w:val="single" w:sz="4" w:space="1" w:color="auto"/>
        </w:pBdr>
        <w:spacing w:after="120"/>
        <w:jc w:val="both"/>
        <w:rPr>
          <w:rFonts w:asciiTheme="minorHAnsi" w:hAnsiTheme="minorHAnsi" w:cstheme="minorHAnsi"/>
          <w:b/>
          <w:sz w:val="20"/>
          <w:szCs w:val="20"/>
          <w:lang w:val="en-GB"/>
        </w:rPr>
      </w:pPr>
      <w:r w:rsidRPr="008A149D">
        <w:rPr>
          <w:rFonts w:asciiTheme="minorHAnsi" w:hAnsiTheme="minorHAnsi" w:cstheme="minorHAnsi"/>
          <w:b/>
          <w:sz w:val="20"/>
          <w:szCs w:val="20"/>
          <w:lang w:val="en-GB"/>
        </w:rPr>
        <w:t>White Zone</w:t>
      </w:r>
    </w:p>
    <w:p w:rsidR="00D90EF8" w:rsidRPr="008A149D" w:rsidRDefault="00D90EF8" w:rsidP="00D90EF8">
      <w:pPr>
        <w:pStyle w:val="Default"/>
        <w:spacing w:after="120"/>
        <w:jc w:val="both"/>
        <w:rPr>
          <w:rFonts w:asciiTheme="minorHAnsi" w:hAnsiTheme="minorHAnsi" w:cstheme="minorHAnsi"/>
          <w:bCs/>
          <w:sz w:val="20"/>
          <w:szCs w:val="20"/>
          <w:lang w:val="en-GB"/>
        </w:rPr>
      </w:pPr>
      <w:r w:rsidRPr="008A149D">
        <w:rPr>
          <w:rFonts w:asciiTheme="minorHAnsi" w:hAnsiTheme="minorHAnsi" w:cstheme="minorHAnsi"/>
          <w:bCs/>
          <w:sz w:val="20"/>
          <w:szCs w:val="20"/>
          <w:lang w:val="en-GB"/>
        </w:rPr>
        <w:t>The security zone (‘WHITE ZONE’) is an area inside the ebola centre that is deemed to have no higher risk of coming into contact with infectious material than the surrounding environment.  Access is restricted for security reasons only to authorised staff and visitors on a needs basis.  In an ebola outbreak there is no ‘no risk’ zone, and standard precautions should contin</w:t>
      </w:r>
      <w:bookmarkStart w:id="0" w:name="_GoBack"/>
      <w:bookmarkEnd w:id="0"/>
      <w:r w:rsidRPr="008A149D">
        <w:rPr>
          <w:rFonts w:asciiTheme="minorHAnsi" w:hAnsiTheme="minorHAnsi" w:cstheme="minorHAnsi"/>
          <w:bCs/>
          <w:sz w:val="20"/>
          <w:szCs w:val="20"/>
          <w:lang w:val="en-GB"/>
        </w:rPr>
        <w:t>ue to be taken both inside and outside the centre.</w:t>
      </w:r>
    </w:p>
    <w:p w:rsidR="008A149D" w:rsidRPr="008A149D" w:rsidRDefault="008A149D" w:rsidP="00BE45EE">
      <w:pPr>
        <w:pStyle w:val="Default"/>
        <w:spacing w:after="120"/>
        <w:jc w:val="both"/>
        <w:rPr>
          <w:rFonts w:asciiTheme="minorHAnsi" w:hAnsiTheme="minorHAnsi" w:cstheme="minorHAnsi"/>
          <w:b/>
          <w:sz w:val="20"/>
          <w:szCs w:val="20"/>
          <w:lang w:val="en-GB"/>
        </w:rPr>
      </w:pPr>
      <w:r w:rsidRPr="008A149D">
        <w:rPr>
          <w:rFonts w:asciiTheme="minorHAnsi" w:hAnsiTheme="minorHAnsi" w:cstheme="minorHAnsi"/>
          <w:b/>
          <w:sz w:val="20"/>
          <w:szCs w:val="20"/>
          <w:lang w:val="en-GB"/>
        </w:rPr>
        <w:t>Approved by:</w:t>
      </w:r>
    </w:p>
    <w:p w:rsidR="008A149D" w:rsidRPr="008A149D" w:rsidRDefault="008A149D" w:rsidP="008A149D">
      <w:pPr>
        <w:pStyle w:val="Default"/>
        <w:spacing w:after="120"/>
        <w:jc w:val="center"/>
        <w:rPr>
          <w:rFonts w:asciiTheme="minorHAnsi" w:hAnsiTheme="minorHAnsi" w:cstheme="minorHAnsi"/>
          <w:b/>
          <w:sz w:val="20"/>
          <w:szCs w:val="20"/>
          <w:lang w:val="en-GB"/>
        </w:rPr>
      </w:pPr>
      <w:r w:rsidRPr="008A149D">
        <w:rPr>
          <w:rFonts w:asciiTheme="minorHAnsi" w:hAnsiTheme="minorHAnsi" w:cstheme="minorHAnsi"/>
          <w:b/>
          <w:sz w:val="20"/>
          <w:szCs w:val="20"/>
          <w:lang w:val="en-GB"/>
        </w:rPr>
        <w:t>Signature</w:t>
      </w:r>
      <w:proofErr w:type="gramStart"/>
      <w:r w:rsidRPr="008A149D">
        <w:rPr>
          <w:rFonts w:asciiTheme="minorHAnsi" w:hAnsiTheme="minorHAnsi" w:cstheme="minorHAnsi"/>
          <w:b/>
          <w:sz w:val="20"/>
          <w:szCs w:val="20"/>
          <w:lang w:val="en-GB"/>
        </w:rPr>
        <w:t>:</w:t>
      </w:r>
      <w:r w:rsidRPr="008A149D">
        <w:rPr>
          <w:rFonts w:asciiTheme="minorHAnsi" w:hAnsiTheme="minorHAnsi" w:cstheme="minorHAnsi"/>
          <w:b/>
          <w:sz w:val="20"/>
          <w:szCs w:val="20"/>
          <w:lang w:val="en-GB"/>
        </w:rPr>
        <w:tab/>
        <w:t>…………………………………</w:t>
      </w:r>
      <w:proofErr w:type="gramEnd"/>
      <w:r w:rsidRPr="008A149D">
        <w:rPr>
          <w:rFonts w:asciiTheme="minorHAnsi" w:hAnsiTheme="minorHAnsi" w:cstheme="minorHAnsi"/>
          <w:b/>
          <w:sz w:val="20"/>
          <w:szCs w:val="20"/>
          <w:lang w:val="en-GB"/>
        </w:rPr>
        <w:tab/>
        <w:t>Date</w:t>
      </w:r>
      <w:proofErr w:type="gramStart"/>
      <w:r w:rsidRPr="008A149D">
        <w:rPr>
          <w:rFonts w:asciiTheme="minorHAnsi" w:hAnsiTheme="minorHAnsi" w:cstheme="minorHAnsi"/>
          <w:b/>
          <w:sz w:val="20"/>
          <w:szCs w:val="20"/>
          <w:lang w:val="en-GB"/>
        </w:rPr>
        <w:t>:</w:t>
      </w:r>
      <w:r w:rsidRPr="008A149D">
        <w:rPr>
          <w:rFonts w:asciiTheme="minorHAnsi" w:hAnsiTheme="minorHAnsi" w:cstheme="minorHAnsi"/>
          <w:b/>
          <w:sz w:val="20"/>
          <w:szCs w:val="20"/>
          <w:lang w:val="en-GB"/>
        </w:rPr>
        <w:tab/>
      </w:r>
      <w:r w:rsidRPr="008A149D">
        <w:rPr>
          <w:rFonts w:asciiTheme="minorHAnsi" w:hAnsiTheme="minorHAnsi" w:cstheme="minorHAnsi"/>
          <w:b/>
          <w:sz w:val="20"/>
          <w:szCs w:val="20"/>
          <w:lang w:val="en-GB"/>
        </w:rPr>
        <w:tab/>
        <w:t>…………………………………</w:t>
      </w:r>
      <w:proofErr w:type="gramEnd"/>
    </w:p>
    <w:p w:rsidR="00BE45EE" w:rsidRPr="008A149D" w:rsidRDefault="008A149D" w:rsidP="008A149D">
      <w:pPr>
        <w:pStyle w:val="Default"/>
        <w:spacing w:after="120"/>
        <w:jc w:val="center"/>
        <w:rPr>
          <w:rFonts w:asciiTheme="minorHAnsi" w:hAnsiTheme="minorHAnsi" w:cstheme="minorHAnsi"/>
          <w:b/>
          <w:sz w:val="20"/>
          <w:szCs w:val="20"/>
          <w:lang w:val="en-GB"/>
        </w:rPr>
      </w:pPr>
      <w:r w:rsidRPr="008A149D">
        <w:rPr>
          <w:rFonts w:asciiTheme="minorHAnsi" w:hAnsiTheme="minorHAnsi" w:cstheme="minorHAnsi"/>
          <w:b/>
          <w:sz w:val="20"/>
          <w:szCs w:val="20"/>
          <w:lang w:val="en-GB"/>
        </w:rPr>
        <w:t>Name</w:t>
      </w:r>
      <w:proofErr w:type="gramStart"/>
      <w:r w:rsidRPr="008A149D">
        <w:rPr>
          <w:rFonts w:asciiTheme="minorHAnsi" w:hAnsiTheme="minorHAnsi" w:cstheme="minorHAnsi"/>
          <w:b/>
          <w:sz w:val="20"/>
          <w:szCs w:val="20"/>
          <w:lang w:val="en-GB"/>
        </w:rPr>
        <w:t>:</w:t>
      </w:r>
      <w:r w:rsidRPr="008A149D">
        <w:rPr>
          <w:rFonts w:asciiTheme="minorHAnsi" w:hAnsiTheme="minorHAnsi" w:cstheme="minorHAnsi"/>
          <w:b/>
          <w:sz w:val="20"/>
          <w:szCs w:val="20"/>
          <w:lang w:val="en-GB"/>
        </w:rPr>
        <w:tab/>
      </w:r>
      <w:r w:rsidRPr="008A149D">
        <w:rPr>
          <w:rFonts w:asciiTheme="minorHAnsi" w:hAnsiTheme="minorHAnsi" w:cstheme="minorHAnsi"/>
          <w:b/>
          <w:sz w:val="20"/>
          <w:szCs w:val="20"/>
          <w:lang w:val="en-GB"/>
        </w:rPr>
        <w:tab/>
        <w:t>…………………………………</w:t>
      </w:r>
      <w:proofErr w:type="gramEnd"/>
      <w:r w:rsidRPr="008A149D">
        <w:rPr>
          <w:rFonts w:asciiTheme="minorHAnsi" w:hAnsiTheme="minorHAnsi" w:cstheme="minorHAnsi"/>
          <w:b/>
          <w:sz w:val="20"/>
          <w:szCs w:val="20"/>
          <w:lang w:val="en-GB"/>
        </w:rPr>
        <w:tab/>
        <w:t>Position</w:t>
      </w:r>
      <w:proofErr w:type="gramStart"/>
      <w:r w:rsidRPr="008A149D">
        <w:rPr>
          <w:rFonts w:asciiTheme="minorHAnsi" w:hAnsiTheme="minorHAnsi" w:cstheme="minorHAnsi"/>
          <w:b/>
          <w:sz w:val="20"/>
          <w:szCs w:val="20"/>
          <w:lang w:val="en-GB"/>
        </w:rPr>
        <w:t>:</w:t>
      </w:r>
      <w:r w:rsidRPr="008A149D">
        <w:rPr>
          <w:rFonts w:asciiTheme="minorHAnsi" w:hAnsiTheme="minorHAnsi" w:cstheme="minorHAnsi"/>
          <w:b/>
          <w:sz w:val="20"/>
          <w:szCs w:val="20"/>
          <w:lang w:val="en-GB"/>
        </w:rPr>
        <w:tab/>
        <w:t>…………………………………</w:t>
      </w:r>
      <w:proofErr w:type="gramEnd"/>
    </w:p>
    <w:sectPr w:rsidR="00BE45EE" w:rsidRPr="008A149D" w:rsidSect="00B93C80">
      <w:headerReference w:type="default" r:id="rId8"/>
      <w:footerReference w:type="default" r:id="rId9"/>
      <w:pgSz w:w="11906" w:h="16838"/>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E4D" w:rsidRDefault="005F1E4D" w:rsidP="00801987">
      <w:pPr>
        <w:spacing w:after="0" w:line="240" w:lineRule="auto"/>
      </w:pPr>
      <w:r>
        <w:separator/>
      </w:r>
    </w:p>
  </w:endnote>
  <w:endnote w:type="continuationSeparator" w:id="0">
    <w:p w:rsidR="005F1E4D" w:rsidRDefault="005F1E4D" w:rsidP="00801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D1C" w:rsidRPr="002F5D1C" w:rsidRDefault="008A149D">
    <w:pPr>
      <w:pStyle w:val="Footer"/>
      <w:rPr>
        <w:rFonts w:cstheme="minorHAnsi"/>
        <w:sz w:val="16"/>
        <w:szCs w:val="16"/>
      </w:rPr>
    </w:pPr>
    <w:r>
      <w:rPr>
        <w:rFonts w:cstheme="minorHAnsi"/>
        <w:sz w:val="16"/>
        <w:szCs w:val="16"/>
      </w:rPr>
      <w:t>Version 1</w:t>
    </w:r>
    <w:r w:rsidR="002F5D1C" w:rsidRPr="002F5D1C">
      <w:rPr>
        <w:rFonts w:cstheme="minorHAnsi"/>
        <w:sz w:val="16"/>
        <w:szCs w:val="16"/>
      </w:rPr>
      <w:tab/>
    </w:r>
    <w:r>
      <w:rPr>
        <w:rFonts w:cstheme="minorHAnsi"/>
        <w:sz w:val="16"/>
        <w:szCs w:val="16"/>
      </w:rPr>
      <w:t>25</w:t>
    </w:r>
    <w:r w:rsidR="002F5D1C" w:rsidRPr="002F5D1C">
      <w:rPr>
        <w:rFonts w:cstheme="minorHAnsi"/>
        <w:sz w:val="16"/>
        <w:szCs w:val="16"/>
      </w:rPr>
      <w:t>/6/2015</w:t>
    </w:r>
    <w:r w:rsidR="002F5D1C" w:rsidRPr="002F5D1C">
      <w:rPr>
        <w:rFonts w:cstheme="minorHAnsi"/>
        <w:sz w:val="16"/>
        <w:szCs w:val="16"/>
      </w:rPr>
      <w:tab/>
      <w:t>James Brown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E4D" w:rsidRDefault="005F1E4D" w:rsidP="00801987">
      <w:pPr>
        <w:spacing w:after="0" w:line="240" w:lineRule="auto"/>
      </w:pPr>
      <w:r>
        <w:separator/>
      </w:r>
    </w:p>
  </w:footnote>
  <w:footnote w:type="continuationSeparator" w:id="0">
    <w:p w:rsidR="005F1E4D" w:rsidRDefault="005F1E4D" w:rsidP="00801987">
      <w:pPr>
        <w:spacing w:after="0" w:line="240" w:lineRule="auto"/>
      </w:pPr>
      <w:r>
        <w:continuationSeparator/>
      </w:r>
    </w:p>
  </w:footnote>
  <w:footnote w:id="1">
    <w:p w:rsidR="001A36B8" w:rsidRDefault="001A36B8" w:rsidP="001A36B8">
      <w:pPr>
        <w:pStyle w:val="FootnoteText"/>
      </w:pPr>
      <w:r>
        <w:rPr>
          <w:rStyle w:val="FootnoteReference"/>
        </w:rPr>
        <w:footnoteRef/>
      </w:r>
      <w:r>
        <w:t xml:space="preserve"> </w:t>
      </w:r>
      <w:proofErr w:type="spellStart"/>
      <w:r>
        <w:t>GoSL</w:t>
      </w:r>
      <w:proofErr w:type="spellEnd"/>
      <w:r>
        <w:t xml:space="preserve"> </w:t>
      </w:r>
      <w:proofErr w:type="spellStart"/>
      <w:r>
        <w:t>MoHS</w:t>
      </w:r>
      <w:proofErr w:type="spellEnd"/>
      <w:r>
        <w:t xml:space="preserve"> 2015.  Standard Operating Procedures on the decontamination of Ebola Care Centres (ECCs)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49D" w:rsidRDefault="008A149D">
    <w:pPr>
      <w:pStyle w:val="Header"/>
    </w:pPr>
    <w:r>
      <w:rPr>
        <w:noProof/>
        <w:lang w:eastAsia="en-GB"/>
      </w:rPr>
      <w:drawing>
        <wp:anchor distT="0" distB="0" distL="114300" distR="114300" simplePos="0" relativeHeight="251658240" behindDoc="0" locked="0" layoutInCell="1" allowOverlap="1">
          <wp:simplePos x="0" y="0"/>
          <wp:positionH relativeFrom="margin">
            <wp:posOffset>4962525</wp:posOffset>
          </wp:positionH>
          <wp:positionV relativeFrom="margin">
            <wp:posOffset>-1083945</wp:posOffset>
          </wp:positionV>
          <wp:extent cx="812165" cy="895350"/>
          <wp:effectExtent l="0" t="0" r="6985" b="0"/>
          <wp:wrapThrough wrapText="bothSides">
            <wp:wrapPolygon edited="0">
              <wp:start x="7600" y="460"/>
              <wp:lineTo x="4560" y="2757"/>
              <wp:lineTo x="2533" y="5515"/>
              <wp:lineTo x="3040" y="9191"/>
              <wp:lineTo x="9120" y="15166"/>
              <wp:lineTo x="507" y="15166"/>
              <wp:lineTo x="507" y="20681"/>
              <wp:lineTo x="21786" y="20681"/>
              <wp:lineTo x="21786" y="15626"/>
              <wp:lineTo x="12159" y="15166"/>
              <wp:lineTo x="18746" y="9191"/>
              <wp:lineTo x="19253" y="6434"/>
              <wp:lineTo x="16719" y="2298"/>
              <wp:lineTo x="14186" y="460"/>
              <wp:lineTo x="7600" y="460"/>
            </wp:wrapPolygon>
          </wp:wrapThrough>
          <wp:docPr id="1" name="Picture 0" descr="OX_VL_C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_VL_C_RGB.png"/>
                  <pic:cNvPicPr/>
                </pic:nvPicPr>
                <pic:blipFill>
                  <a:blip r:embed="rId1"/>
                  <a:stretch>
                    <a:fillRect/>
                  </a:stretch>
                </pic:blipFill>
                <pic:spPr>
                  <a:xfrm>
                    <a:off x="0" y="0"/>
                    <a:ext cx="812165" cy="8953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630B1"/>
    <w:multiLevelType w:val="hybridMultilevel"/>
    <w:tmpl w:val="7DDCC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5F11BE"/>
    <w:multiLevelType w:val="hybridMultilevel"/>
    <w:tmpl w:val="D2581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2D7421"/>
    <w:multiLevelType w:val="hybridMultilevel"/>
    <w:tmpl w:val="E6BE8DB2"/>
    <w:lvl w:ilvl="0" w:tplc="2C4A7C48">
      <w:start w:val="1"/>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EF46E9"/>
    <w:multiLevelType w:val="hybridMultilevel"/>
    <w:tmpl w:val="154EAF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8D1D94"/>
    <w:multiLevelType w:val="multilevel"/>
    <w:tmpl w:val="318D1D9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466D7EFC"/>
    <w:multiLevelType w:val="hybridMultilevel"/>
    <w:tmpl w:val="59F80056"/>
    <w:lvl w:ilvl="0" w:tplc="2C4A7C48">
      <w:start w:val="1"/>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6" w15:restartNumberingAfterBreak="0">
    <w:nsid w:val="563F7BCB"/>
    <w:multiLevelType w:val="hybridMultilevel"/>
    <w:tmpl w:val="F2788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3"/>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E9"/>
    <w:rsid w:val="00006EEA"/>
    <w:rsid w:val="000D3580"/>
    <w:rsid w:val="00102C56"/>
    <w:rsid w:val="00107C6B"/>
    <w:rsid w:val="001246FD"/>
    <w:rsid w:val="0012487C"/>
    <w:rsid w:val="00135A30"/>
    <w:rsid w:val="00172279"/>
    <w:rsid w:val="001A36B8"/>
    <w:rsid w:val="001E4904"/>
    <w:rsid w:val="001F43F4"/>
    <w:rsid w:val="0022079B"/>
    <w:rsid w:val="00235E8F"/>
    <w:rsid w:val="002D528C"/>
    <w:rsid w:val="002E0319"/>
    <w:rsid w:val="002E15C2"/>
    <w:rsid w:val="002F5D1C"/>
    <w:rsid w:val="003027AB"/>
    <w:rsid w:val="003670D8"/>
    <w:rsid w:val="003A41B9"/>
    <w:rsid w:val="004073BB"/>
    <w:rsid w:val="00426FC5"/>
    <w:rsid w:val="00502C13"/>
    <w:rsid w:val="00532167"/>
    <w:rsid w:val="005C3D3D"/>
    <w:rsid w:val="005F1E4D"/>
    <w:rsid w:val="006817D8"/>
    <w:rsid w:val="006A3BFB"/>
    <w:rsid w:val="006B3E0E"/>
    <w:rsid w:val="007E55C1"/>
    <w:rsid w:val="00801987"/>
    <w:rsid w:val="008335A8"/>
    <w:rsid w:val="008A149D"/>
    <w:rsid w:val="008A1EC1"/>
    <w:rsid w:val="008F70AD"/>
    <w:rsid w:val="00912907"/>
    <w:rsid w:val="009569DB"/>
    <w:rsid w:val="009819C1"/>
    <w:rsid w:val="009A4175"/>
    <w:rsid w:val="009E440F"/>
    <w:rsid w:val="00A01CB2"/>
    <w:rsid w:val="00AC35AF"/>
    <w:rsid w:val="00AC5FFA"/>
    <w:rsid w:val="00AD6BB4"/>
    <w:rsid w:val="00B15B62"/>
    <w:rsid w:val="00B37E80"/>
    <w:rsid w:val="00B65BE9"/>
    <w:rsid w:val="00B757D1"/>
    <w:rsid w:val="00B93C80"/>
    <w:rsid w:val="00BA42F7"/>
    <w:rsid w:val="00BE45EE"/>
    <w:rsid w:val="00C35B4C"/>
    <w:rsid w:val="00C5485D"/>
    <w:rsid w:val="00C847B6"/>
    <w:rsid w:val="00CB36B1"/>
    <w:rsid w:val="00CF2C95"/>
    <w:rsid w:val="00CF342F"/>
    <w:rsid w:val="00D61F1B"/>
    <w:rsid w:val="00D90EF8"/>
    <w:rsid w:val="00DA3835"/>
    <w:rsid w:val="00DA5637"/>
    <w:rsid w:val="00DC159F"/>
    <w:rsid w:val="00E44229"/>
    <w:rsid w:val="00EC0BF0"/>
    <w:rsid w:val="00EC472F"/>
    <w:rsid w:val="00F5790C"/>
    <w:rsid w:val="00FE64C4"/>
    <w:rsid w:val="00FE7E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E72933-F241-46B1-8CD6-3A0D7F41E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B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BE9"/>
    <w:pPr>
      <w:ind w:left="720"/>
      <w:contextualSpacing/>
    </w:pPr>
  </w:style>
  <w:style w:type="paragraph" w:customStyle="1" w:styleId="ListParagraph1">
    <w:name w:val="List Paragraph1"/>
    <w:basedOn w:val="Normal"/>
    <w:uiPriority w:val="34"/>
    <w:qFormat/>
    <w:rsid w:val="00B65BE9"/>
    <w:pPr>
      <w:ind w:left="720"/>
      <w:contextualSpacing/>
    </w:pPr>
    <w:rPr>
      <w:rFonts w:ascii="Calibri" w:eastAsia="Calibri" w:hAnsi="Calibri" w:cs="Times New Roman"/>
      <w:lang w:val="en-US"/>
    </w:rPr>
  </w:style>
  <w:style w:type="character" w:styleId="Hyperlink">
    <w:name w:val="Hyperlink"/>
    <w:basedOn w:val="DefaultParagraphFont"/>
    <w:uiPriority w:val="99"/>
    <w:unhideWhenUsed/>
    <w:rsid w:val="00B65BE9"/>
    <w:rPr>
      <w:color w:val="0000FF" w:themeColor="hyperlink"/>
      <w:u w:val="single"/>
    </w:rPr>
  </w:style>
  <w:style w:type="paragraph" w:customStyle="1" w:styleId="Default">
    <w:name w:val="Default"/>
    <w:rsid w:val="00D61F1B"/>
    <w:pPr>
      <w:autoSpaceDE w:val="0"/>
      <w:autoSpaceDN w:val="0"/>
      <w:adjustRightInd w:val="0"/>
      <w:spacing w:after="0" w:line="240" w:lineRule="auto"/>
    </w:pPr>
    <w:rPr>
      <w:rFonts w:ascii="Calibri" w:eastAsia="Times New Roman" w:hAnsi="Calibri" w:cs="Calibri"/>
      <w:color w:val="000000"/>
      <w:sz w:val="24"/>
      <w:szCs w:val="24"/>
      <w:lang w:val="en-US"/>
    </w:rPr>
  </w:style>
  <w:style w:type="table" w:styleId="TableGrid">
    <w:name w:val="Table Grid"/>
    <w:basedOn w:val="TableNormal"/>
    <w:uiPriority w:val="59"/>
    <w:rsid w:val="0083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0198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1987"/>
    <w:rPr>
      <w:sz w:val="20"/>
      <w:szCs w:val="20"/>
    </w:rPr>
  </w:style>
  <w:style w:type="character" w:styleId="FootnoteReference">
    <w:name w:val="footnote reference"/>
    <w:basedOn w:val="DefaultParagraphFont"/>
    <w:uiPriority w:val="99"/>
    <w:semiHidden/>
    <w:unhideWhenUsed/>
    <w:rsid w:val="00801987"/>
    <w:rPr>
      <w:vertAlign w:val="superscript"/>
    </w:rPr>
  </w:style>
  <w:style w:type="paragraph" w:styleId="NoSpacing">
    <w:name w:val="No Spacing"/>
    <w:uiPriority w:val="1"/>
    <w:qFormat/>
    <w:rsid w:val="00006EEA"/>
    <w:pPr>
      <w:spacing w:after="0" w:line="240" w:lineRule="auto"/>
    </w:pPr>
  </w:style>
  <w:style w:type="paragraph" w:styleId="Header">
    <w:name w:val="header"/>
    <w:basedOn w:val="Normal"/>
    <w:link w:val="HeaderChar"/>
    <w:uiPriority w:val="99"/>
    <w:semiHidden/>
    <w:unhideWhenUsed/>
    <w:rsid w:val="002F5D1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5D1C"/>
  </w:style>
  <w:style w:type="paragraph" w:styleId="Footer">
    <w:name w:val="footer"/>
    <w:basedOn w:val="Normal"/>
    <w:link w:val="FooterChar"/>
    <w:uiPriority w:val="99"/>
    <w:semiHidden/>
    <w:unhideWhenUsed/>
    <w:rsid w:val="002F5D1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F5D1C"/>
  </w:style>
  <w:style w:type="paragraph" w:styleId="BalloonText">
    <w:name w:val="Balloon Text"/>
    <w:basedOn w:val="Normal"/>
    <w:link w:val="BalloonTextChar"/>
    <w:uiPriority w:val="99"/>
    <w:semiHidden/>
    <w:unhideWhenUsed/>
    <w:rsid w:val="008A14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4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61CB18-5F24-4D81-9698-C706FD98A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533</Words>
  <Characters>2839</Characters>
  <Application>Microsoft Office Word</Application>
  <DocSecurity>0</DocSecurity>
  <Lines>61</Lines>
  <Paragraphs>26</Paragraphs>
  <ScaleCrop>false</ScaleCrop>
  <HeadingPairs>
    <vt:vector size="2" baseType="variant">
      <vt:variant>
        <vt:lpstr>Title</vt:lpstr>
      </vt:variant>
      <vt:variant>
        <vt:i4>1</vt:i4>
      </vt:variant>
    </vt:vector>
  </HeadingPairs>
  <TitlesOfParts>
    <vt:vector size="1" baseType="lpstr">
      <vt:lpstr/>
    </vt:vector>
  </TitlesOfParts>
  <Company>Oxfam</Company>
  <LinksUpToDate>false</LinksUpToDate>
  <CharactersWithSpaces>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hkpange</dc:creator>
  <cp:lastModifiedBy>James Brown</cp:lastModifiedBy>
  <cp:revision>3</cp:revision>
  <cp:lastPrinted>2015-06-25T14:28:00Z</cp:lastPrinted>
  <dcterms:created xsi:type="dcterms:W3CDTF">2017-01-13T13:24:00Z</dcterms:created>
  <dcterms:modified xsi:type="dcterms:W3CDTF">2017-01-13T13:24:00Z</dcterms:modified>
</cp:coreProperties>
</file>